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Digitale Ablage im Brauchtumsverein</w:t>
      </w:r>
    </w:p>
    <w:p>
      <w:pPr>
        <w:pStyle w:val="Subtitle"/>
      </w:pPr>
      <w:r>
        <w:t>Dateiplan und Arbeitsblätter</w:t>
      </w:r>
    </w:p>
    <w:p>
      <w:r>
        <w:t>Eine brauchbare Ablage im Brauchtumsverein führt zu den gültigen Unterlagen und zu einer zuständigen Person. Beginnen Sie mit einem klar begrenzten Vorgang, einem vereinbarten Speicherort und tatsächlich geprüften Rechten. Der folgende Dateiplan und die Arbeitsblätter sind eigene, anpassbare Organisationsvorschläge. Sie legen weder gesetzliche Fristen noch verbindliche Fachanforderungen fest.</w:t>
      </w:r>
    </w:p>
    <w:p>
      <w:pPr>
        <w:spacing w:after="100"/>
        <w:keepNext/>
      </w:pPr>
      <w:r>
        <w:rPr>
          <w:b/>
          <w:color w:val="000000"/>
        </w:rPr>
        <w:t>So verwenden Sie die Vorlage</w:t>
      </w:r>
    </w:p>
    <w:p>
      <w:pPr>
        <w:spacing w:after="100"/>
      </w:pPr>
      <w:r>
        <w:rPr>
          <w:color w:val="000000"/>
        </w:rPr>
        <w:t>Speichern Sie zuerst eine eigene Kopie in Word oder einem kompatiblen Textprogramm. Füllen Sie nur die für Ihren Vorgang passenden Felder aus. Ungeklärte Angaben bleiben offen; notieren Sie die Rückfrage und die zuständige Person.</w:t>
      </w:r>
    </w:p>
    <w:p>
      <w:pPr>
        <w:spacing w:after="100"/>
      </w:pPr>
      <w:r>
        <w:rPr>
          <w:color w:val="000000"/>
        </w:rPr>
        <w:t>Ergänzen Sie bei Bedarf passende Zeilen oder Felder. Speichern Sie Änderungen in Ihrer eigenen Datei. Für die Weitergabe können Sie zusätzlich ein PDF erzeugen; die Word-Datei bleibt Ihre bearbeitbare Fassung.</w:t>
      </w:r>
    </w:p>
    <w:p>
      <w:pPr>
        <w:pStyle w:val="Heading1"/>
      </w:pPr>
      <w:r>
        <w:t>Zuständigkeit und Startvorgang</w:t>
      </w:r>
    </w:p>
    <w:p>
      <w:r>
        <w:t>Archiv- oder Fundusverantwortliche pflegen Herkunft und Kennungen. Öffentlichkeitsarbeit erhält nur für den vorgesehenen Zweck geprüfte Veröffentlichungsfassungen.</w:t>
      </w:r>
    </w:p>
    <w:p>
      <w:r>
        <w:t>Verein und zuständige Person</w:t>
        <w:br/>
        <w:t>_______________________________________________________________</w:t>
      </w:r>
    </w:p>
    <w:p>
      <w:r>
        <w:t>Führender Speicherort und Vertretung</w:t>
        <w:br/>
        <w:t>_______________________________________________________________</w:t>
      </w:r>
    </w:p>
    <w:p>
      <w:r>
        <w:t>Gewählter Pilotvorgang und Zieltermin</w:t>
        <w:br/>
        <w:t>_______________________________________________________________</w:t>
      </w:r>
    </w:p>
    <w:p>
      <w:pPr>
        <w:pStyle w:val="Heading2"/>
      </w:pPr>
      <w:r>
        <w:t>So beginnen Sie</w:t>
      </w:r>
    </w:p>
    <w:p>
      <w:r>
        <w:t>Wählen Sie zunächst einen überschaubaren Vorgang. Notieren Sie vorhandene Speicherorte, Dokumentarten, zuständige Rolle, Zweck, nötige Zugriffe und bekannte Lücken. Lassen Sie Originale zunächst unverändert. Legen Sie fest, welche Stelle über die Ablage entscheidet.</w:t>
      </w:r>
    </w:p>
    <w:p>
      <w:r>
        <w:t>Dateidatum und historisches Aufnahmedatum nicht gleichsetzen. Originalnamen und bekannte Herkunft erhalten; Schätzungen und mündliche Überlieferung als solche dokumentieren.</w:t>
      </w:r>
    </w:p>
    <w:p>
      <w:pPr>
        <w:pStyle w:val="Heading1"/>
        <w:pageBreakBefore/>
      </w:pPr>
      <w:r>
        <w:t>Fachliche Unterlagen zuordnen</w:t>
      </w:r>
    </w:p>
    <w:p>
      <w:pPr>
        <w:pStyle w:val="Heading2"/>
      </w:pPr>
      <w:r>
        <w:t>Funduskartei</w:t>
      </w:r>
    </w:p>
    <w:p>
      <w:r>
        <w:t>Objektkennung, Standort, Zustand, Herkunft und zuständige Person dokumentieren. Leihverträge und private Kontaktdaten separat begrenzt zugänglich halten.</w:t>
      </w:r>
    </w:p>
    <w:p>
      <w:pPr>
        <w:pStyle w:val="Heading2"/>
      </w:pPr>
      <w:r>
        <w:t>Interviewmetadaten</w:t>
      </w:r>
    </w:p>
    <w:p>
      <w:r>
        <w:t>Datum, aufnehmende Person, Gesprächskontext und dokumentierte Nutzungsabrede festhalten. Eine Aufnahme ist kein Beleg für uneingeschränkte Veröffentlichung.</w:t>
      </w:r>
    </w:p>
    <w:p>
      <w:pPr>
        <w:pStyle w:val="Heading2"/>
      </w:pPr>
      <w:r>
        <w:t>Fotoarchiv</w:t>
      </w:r>
    </w:p>
    <w:p>
      <w:r>
        <w:t>Originaldatei, Herkunft, Datierung, Rechtehinweis und spätere Bearbeitungen unterscheidbar führen. Unsichere Zuschreibungen ausdrücklich als ungesichert markieren.</w:t>
      </w:r>
    </w:p>
    <w:p>
      <w:pPr>
        <w:pStyle w:val="Heading2"/>
      </w:pPr>
      <w:r>
        <w:t>Festakten</w:t>
      </w:r>
    </w:p>
    <w:p>
      <w:r>
        <w:t>Freigegebener Ablauf, Materialbedarf und Rückfragenkontakt für Mitwirkende. Abrechnungen und sensible Personenangaben in den berechtigten Bereich.</w:t>
      </w:r>
    </w:p>
    <w:p>
      <w:pPr>
        <w:pStyle w:val="Heading2"/>
      </w:pPr>
      <w:r>
        <w:t>Vorgänge wiederfinden</w:t>
      </w:r>
    </w:p>
    <w:p>
      <w:r>
        <w:t>Ein Mitglied sucht für eine Ausstellung ein altes Foto. Es findet über die Objektkennung Original, Herkunft und Nutzungsstand. Wenn Rechte oder Datierung unklar sind, wird das Bild nicht als geklärtes historisches Dokument ausgegeben.</w:t>
      </w:r>
    </w:p>
    <w:p>
      <w:r>
        <w:t>Beispiel zur Veranschaulichung: Für ein Festheft wird ein Bild ausgewählt. Die Archivperson ordnet es einer Quellenkarte zu. Weil das Aufnahmedatum nur geschätzt ist, bleibt dieser Hinweis auch in der Arbeitsfassung erhalten; Nutzungsfragen werden vor Weitergabe geklärt.</w:t>
      </w:r>
    </w:p>
    <w:p>
      <w:pPr>
        <w:pStyle w:val="Heading1"/>
        <w:pageBreakBefore/>
      </w:pPr>
      <w:r>
        <w:t>Dateiplan und Rechte festlegen</w:t>
      </w:r>
    </w:p>
    <w:p>
      <w:r>
        <w:t>Die Struktur ist ein eigener Vorschlag. Nicht benötigte Bereiche entfallen; Systemrechte müssen gesondert eingerichtet und getestet werden. Ein Archivordner ersetzt kein Backup.</w:t>
      </w:r>
    </w:p>
    <w:tbl>
      <w:tblPr>
        <w:tblStyle w:val="TableGrid"/>
        <w:tblW w:type="auto" w:w="0"/>
        <w:jc w:val="center"/>
        <w:tblLayout w:type="fixed"/>
        <w:tblLook w:firstColumn="1" w:firstRow="1" w:lastColumn="0" w:lastRow="0" w:noHBand="0" w:noVBand="1" w:val="04A0"/>
      </w:tblPr>
      <w:tblGrid>
        <w:gridCol w:w="3402"/>
        <w:gridCol w:w="6236"/>
      </w:tblGrid>
      <w:tr>
        <w:trPr>
          <w:tblHeader/>
          <w:cantSplit/>
        </w:trPr>
        <w:tc>
          <w:tcPr>
            <w:tcW w:type="dxa" w:w="3402"/>
            <w:shd w:fill="E7E6E6"/>
          </w:tcPr>
          <w:p>
            <w:pPr>
              <w:spacing w:after="60" w:before="60"/>
            </w:pPr>
            <w:r>
              <w:rPr>
                <w:b/>
                <w:sz w:val="18"/>
              </w:rPr>
              <w:t>Bereich</w:t>
            </w:r>
          </w:p>
        </w:tc>
        <w:tc>
          <w:tcPr>
            <w:tcW w:type="dxa" w:w="6236"/>
            <w:shd w:fill="E7E6E6"/>
          </w:tcPr>
          <w:p>
            <w:pPr>
              <w:spacing w:after="60" w:before="60"/>
            </w:pPr>
            <w:r>
              <w:rPr>
                <w:b/>
                <w:sz w:val="18"/>
              </w:rPr>
              <w:t>Zweck</w:t>
            </w:r>
          </w:p>
        </w:tc>
      </w:tr>
      <w:tr>
        <w:trPr>
          <w:cantSplit/>
        </w:trPr>
        <w:tc>
          <w:tcPr>
            <w:tcW w:type="dxa" w:w="3402"/>
          </w:tcPr>
          <w:p>
            <w:pPr>
              <w:spacing w:after="60" w:before="60"/>
            </w:pPr>
            <w:r>
              <w:rPr>
                <w:sz w:val="18"/>
              </w:rPr>
              <w:t>00_Orientierung</w:t>
            </w:r>
          </w:p>
        </w:tc>
        <w:tc>
          <w:tcPr>
            <w:tcW w:type="dxa" w:w="6236"/>
          </w:tcPr>
          <w:p>
            <w:pPr>
              <w:spacing w:after="60" w:before="60"/>
            </w:pPr>
            <w:r>
              <w:rPr>
                <w:sz w:val="18"/>
              </w:rPr>
              <w:t>Dateiplan, Zuständigkeiten und Verweise ohne Geheimnisse</w:t>
            </w:r>
          </w:p>
        </w:tc>
      </w:tr>
      <w:tr>
        <w:trPr>
          <w:cantSplit/>
        </w:trPr>
        <w:tc>
          <w:tcPr>
            <w:tcW w:type="dxa" w:w="3402"/>
          </w:tcPr>
          <w:p>
            <w:pPr>
              <w:spacing w:after="60" w:before="60"/>
            </w:pPr>
            <w:r>
              <w:rPr>
                <w:sz w:val="18"/>
              </w:rPr>
              <w:t>01_Vereinsfuehrung</w:t>
            </w:r>
          </w:p>
        </w:tc>
        <w:tc>
          <w:tcPr>
            <w:tcW w:type="dxa" w:w="6236"/>
          </w:tcPr>
          <w:p>
            <w:pPr>
              <w:spacing w:after="60" w:before="60"/>
            </w:pPr>
            <w:r>
              <w:rPr>
                <w:sz w:val="18"/>
              </w:rPr>
              <w:t>Satzung, Beschlüsse und organisatorische Vorgänge nach Berechtigung</w:t>
            </w:r>
          </w:p>
        </w:tc>
      </w:tr>
      <w:tr>
        <w:trPr>
          <w:cantSplit/>
        </w:trPr>
        <w:tc>
          <w:tcPr>
            <w:tcW w:type="dxa" w:w="3402"/>
          </w:tcPr>
          <w:p>
            <w:pPr>
              <w:spacing w:after="60" w:before="60"/>
            </w:pPr>
            <w:r>
              <w:rPr>
                <w:sz w:val="18"/>
              </w:rPr>
              <w:t>02_Finanzen</w:t>
            </w:r>
          </w:p>
        </w:tc>
        <w:tc>
          <w:tcPr>
            <w:tcW w:type="dxa" w:w="6236"/>
          </w:tcPr>
          <w:p>
            <w:pPr>
              <w:spacing w:after="60" w:before="60"/>
            </w:pPr>
            <w:r>
              <w:rPr>
                <w:sz w:val="18"/>
              </w:rPr>
              <w:t>Nur für zuständige Rollen, keine offene Mitgliederfreigabe</w:t>
            </w:r>
          </w:p>
        </w:tc>
      </w:tr>
      <w:tr>
        <w:trPr>
          <w:cantSplit/>
        </w:trPr>
        <w:tc>
          <w:tcPr>
            <w:tcW w:type="dxa" w:w="3402"/>
          </w:tcPr>
          <w:p>
            <w:pPr>
              <w:spacing w:after="60" w:before="60"/>
            </w:pPr>
            <w:r>
              <w:rPr>
                <w:sz w:val="18"/>
              </w:rPr>
              <w:t>03_Facharbeit</w:t>
            </w:r>
          </w:p>
        </w:tc>
        <w:tc>
          <w:tcPr>
            <w:tcW w:type="dxa" w:w="6236"/>
          </w:tcPr>
          <w:p>
            <w:pPr>
              <w:spacing w:after="60" w:before="60"/>
            </w:pPr>
            <w:r>
              <w:rPr>
                <w:sz w:val="18"/>
              </w:rPr>
              <w:t>Fachvorgänge nach der folgenden Branchengliederung</w:t>
            </w:r>
          </w:p>
        </w:tc>
      </w:tr>
      <w:tr>
        <w:trPr>
          <w:cantSplit/>
        </w:trPr>
        <w:tc>
          <w:tcPr>
            <w:tcW w:type="dxa" w:w="3402"/>
          </w:tcPr>
          <w:p>
            <w:pPr>
              <w:spacing w:after="60" w:before="60"/>
            </w:pPr>
            <w:r>
              <w:rPr>
                <w:sz w:val="18"/>
              </w:rPr>
              <w:t>04_Mitgliederinformation</w:t>
            </w:r>
          </w:p>
        </w:tc>
        <w:tc>
          <w:tcPr>
            <w:tcW w:type="dxa" w:w="6236"/>
          </w:tcPr>
          <w:p>
            <w:pPr>
              <w:spacing w:after="60" w:before="60"/>
            </w:pPr>
            <w:r>
              <w:rPr>
                <w:sz w:val="18"/>
              </w:rPr>
              <w:t>Nur zur internen Weitergabe geprüfte Informationen</w:t>
            </w:r>
          </w:p>
        </w:tc>
      </w:tr>
      <w:tr>
        <w:trPr>
          <w:cantSplit/>
        </w:trPr>
        <w:tc>
          <w:tcPr>
            <w:tcW w:type="dxa" w:w="3402"/>
          </w:tcPr>
          <w:p>
            <w:pPr>
              <w:spacing w:after="60" w:before="60"/>
            </w:pPr>
            <w:r>
              <w:rPr>
                <w:sz w:val="18"/>
              </w:rPr>
              <w:t>90_Abgeschlossene_Vorgaenge</w:t>
            </w:r>
          </w:p>
        </w:tc>
        <w:tc>
          <w:tcPr>
            <w:tcW w:type="dxa" w:w="6236"/>
          </w:tcPr>
          <w:p>
            <w:pPr>
              <w:spacing w:after="60" w:before="60"/>
            </w:pPr>
            <w:r>
              <w:rPr>
                <w:sz w:val="18"/>
              </w:rPr>
              <w:t>Abgeschlossene Vorgänge mit geprüftem Aufbewahrungszweck</w:t>
            </w:r>
          </w:p>
        </w:tc>
      </w:tr>
    </w:tbl>
    <w:p>
      <w:r>
        <w:t>Namensbeispiel (konstruiert):</w:t>
        <w:br/>
        <w:t>2027-01-15_Archiv-O01_Quellenkarte_v01_ENTWURF.ext</w:t>
      </w:r>
    </w:p>
    <w:p>
      <w:r>
        <w:t>Ersetzen Sie .ext durch die echte Dateiendung. Benennen Sie Originale erst nach Klärung von Herkunft und fachlichem Zusammenhang um. Der Index nennt gültigen Stand und Freigabe.</w:t>
      </w:r>
    </w:p>
    <w:tbl>
      <w:tblPr>
        <w:tblStyle w:val="TableGrid"/>
        <w:tblW w:type="auto" w:w="0"/>
        <w:jc w:val="center"/>
        <w:tblLayout w:type="fixed"/>
        <w:tblLook w:firstColumn="1" w:firstRow="1" w:lastColumn="0" w:lastRow="0" w:noHBand="0" w:noVBand="1" w:val="04A0"/>
      </w:tblPr>
      <w:tblGrid>
        <w:gridCol w:w="3402"/>
        <w:gridCol w:w="3118"/>
        <w:gridCol w:w="3118"/>
      </w:tblGrid>
      <w:tr>
        <w:trPr>
          <w:tblHeader/>
          <w:cantSplit/>
        </w:trPr>
        <w:tc>
          <w:tcPr>
            <w:tcW w:type="dxa" w:w="3402"/>
            <w:shd w:fill="E7E6E6"/>
          </w:tcPr>
          <w:p>
            <w:pPr>
              <w:spacing w:after="60" w:before="60"/>
            </w:pPr>
            <w:r>
              <w:rPr>
                <w:b/>
                <w:sz w:val="18"/>
              </w:rPr>
              <w:t>Bereich und führender Fundort</w:t>
            </w:r>
          </w:p>
        </w:tc>
        <w:tc>
          <w:tcPr>
            <w:tcW w:type="dxa" w:w="3118"/>
            <w:shd w:fill="E7E6E6"/>
          </w:tcPr>
          <w:p>
            <w:pPr>
              <w:spacing w:after="60" w:before="60"/>
            </w:pPr>
            <w:r>
              <w:rPr>
                <w:b/>
                <w:sz w:val="18"/>
              </w:rPr>
              <w:t>Lesen und Ändern</w:t>
            </w:r>
          </w:p>
        </w:tc>
        <w:tc>
          <w:tcPr>
            <w:tcW w:type="dxa" w:w="3118"/>
            <w:shd w:fill="E7E6E6"/>
          </w:tcPr>
          <w:p>
            <w:pPr>
              <w:spacing w:after="60" w:before="60"/>
            </w:pPr>
            <w:r>
              <w:rPr>
                <w:b/>
                <w:sz w:val="18"/>
              </w:rPr>
              <w:t>Verantwortung und Vertretung</w:t>
            </w:r>
          </w:p>
        </w:tc>
      </w:tr>
      <w:tr>
        <w:trPr>
          <w:cantSplit/>
        </w:trPr>
        <w:tc>
          <w:tcPr>
            <w:tcW w:type="dxa" w:w="3402"/>
          </w:tcPr>
          <w:p>
            <w:pPr>
              <w:spacing w:after="60" w:before="60"/>
            </w:pPr>
            <w:r>
              <w:rPr>
                <w:sz w:val="18"/>
              </w:rPr>
              <w:t>Funduskartei</w:t>
            </w:r>
          </w:p>
        </w:tc>
        <w:tc>
          <w:tcPr>
            <w:tcW w:type="dxa" w:w="3118"/>
          </w:tcPr>
          <w:p>
            <w:pPr>
              <w:spacing w:after="60" w:before="60"/>
            </w:pPr>
            <w:r>
              <w:rPr>
                <w:sz w:val="18"/>
              </w:rPr>
              <w:br/>
            </w:r>
          </w:p>
        </w:tc>
        <w:tc>
          <w:tcPr>
            <w:tcW w:type="dxa" w:w="3118"/>
          </w:tcPr>
          <w:p>
            <w:pPr>
              <w:spacing w:after="60" w:before="60"/>
            </w:pPr>
            <w:r>
              <w:rPr>
                <w:sz w:val="18"/>
              </w:rPr>
              <w:br/>
            </w:r>
          </w:p>
        </w:tc>
      </w:tr>
      <w:tr>
        <w:trPr>
          <w:cantSplit/>
        </w:trPr>
        <w:tc>
          <w:tcPr>
            <w:tcW w:type="dxa" w:w="3402"/>
          </w:tcPr>
          <w:p>
            <w:pPr>
              <w:spacing w:after="60" w:before="60"/>
            </w:pPr>
            <w:r>
              <w:rPr>
                <w:sz w:val="18"/>
              </w:rPr>
              <w:t>Interviewmetadaten</w:t>
            </w:r>
          </w:p>
        </w:tc>
        <w:tc>
          <w:tcPr>
            <w:tcW w:type="dxa" w:w="3118"/>
          </w:tcPr>
          <w:p>
            <w:pPr>
              <w:spacing w:after="60" w:before="60"/>
            </w:pPr>
            <w:r>
              <w:rPr>
                <w:sz w:val="18"/>
              </w:rPr>
              <w:br/>
            </w:r>
          </w:p>
        </w:tc>
        <w:tc>
          <w:tcPr>
            <w:tcW w:type="dxa" w:w="3118"/>
          </w:tcPr>
          <w:p>
            <w:pPr>
              <w:spacing w:after="60" w:before="60"/>
            </w:pPr>
            <w:r>
              <w:rPr>
                <w:sz w:val="18"/>
              </w:rPr>
              <w:br/>
            </w:r>
          </w:p>
        </w:tc>
      </w:tr>
      <w:tr>
        <w:trPr>
          <w:cantSplit/>
        </w:trPr>
        <w:tc>
          <w:tcPr>
            <w:tcW w:type="dxa" w:w="3402"/>
          </w:tcPr>
          <w:p>
            <w:pPr>
              <w:spacing w:after="60" w:before="60"/>
            </w:pPr>
            <w:r>
              <w:rPr>
                <w:sz w:val="18"/>
              </w:rPr>
              <w:t>Fotoarchiv</w:t>
            </w:r>
          </w:p>
        </w:tc>
        <w:tc>
          <w:tcPr>
            <w:tcW w:type="dxa" w:w="3118"/>
          </w:tcPr>
          <w:p>
            <w:pPr>
              <w:spacing w:after="60" w:before="60"/>
            </w:pPr>
            <w:r>
              <w:rPr>
                <w:sz w:val="18"/>
              </w:rPr>
              <w:br/>
            </w:r>
          </w:p>
        </w:tc>
        <w:tc>
          <w:tcPr>
            <w:tcW w:type="dxa" w:w="3118"/>
          </w:tcPr>
          <w:p>
            <w:pPr>
              <w:spacing w:after="60" w:before="60"/>
            </w:pPr>
            <w:r>
              <w:rPr>
                <w:sz w:val="18"/>
              </w:rPr>
              <w:br/>
            </w:r>
          </w:p>
        </w:tc>
      </w:tr>
      <w:tr>
        <w:trPr>
          <w:cantSplit/>
        </w:trPr>
        <w:tc>
          <w:tcPr>
            <w:tcW w:type="dxa" w:w="3402"/>
          </w:tcPr>
          <w:p>
            <w:pPr>
              <w:spacing w:after="60" w:before="60"/>
            </w:pPr>
            <w:r>
              <w:rPr>
                <w:sz w:val="18"/>
              </w:rPr>
              <w:t>Festakten</w:t>
            </w:r>
          </w:p>
        </w:tc>
        <w:tc>
          <w:tcPr>
            <w:tcW w:type="dxa" w:w="3118"/>
          </w:tcPr>
          <w:p>
            <w:pPr>
              <w:spacing w:after="60" w:before="60"/>
            </w:pPr>
            <w:r>
              <w:rPr>
                <w:sz w:val="18"/>
              </w:rPr>
              <w:br/>
            </w:r>
          </w:p>
        </w:tc>
        <w:tc>
          <w:tcPr>
            <w:tcW w:type="dxa" w:w="3118"/>
          </w:tcPr>
          <w:p>
            <w:pPr>
              <w:spacing w:after="60" w:before="60"/>
            </w:pPr>
            <w:r>
              <w:rPr>
                <w:sz w:val="18"/>
              </w:rPr>
              <w:br/>
            </w:r>
          </w:p>
        </w:tc>
      </w:tr>
    </w:tbl>
    <w:p>
      <w:r>
        <w:t>Keine Passwörter, Notfallcodes, Bankzugänge oder vertraulichen Falldetails in diesen allgemeinen Plan eintragen. Mitgliedsrechte und berechtigte Auskunftsanfragen werden gesondert geprüft.</w:t>
      </w:r>
    </w:p>
    <w:p>
      <w:pPr>
        <w:pStyle w:val="Heading1"/>
        <w:pageBreakBefore/>
      </w:pPr>
      <w:r>
        <w:t>Sicherung und Kontrolltermine</w:t>
      </w:r>
    </w:p>
    <w:p>
      <w:r>
        <w:t>Synchronisation allein ist keine Datensicherung. Vereinbaren Sie Sicherungsverfahren, geschützten unabhängigen Sicherungsort, Zuständigkeit und einen zur Änderungshäufigkeit passenden Rhythmus. Stellen Sie eine harmlose Testdatei in einen getrennten Testordner wieder her und vergleichen Sie Inhalt und Stand. Überschreiben Sie beim Test keine Originale.</w:t>
      </w:r>
    </w:p>
    <w:tbl>
      <w:tblPr>
        <w:tblStyle w:val="TableGrid"/>
        <w:tblW w:type="auto" w:w="0"/>
        <w:jc w:val="center"/>
        <w:tblLayout w:type="fixed"/>
        <w:tblLook w:firstColumn="1" w:firstRow="1" w:lastColumn="0" w:lastRow="0" w:noHBand="0" w:noVBand="1" w:val="04A0"/>
      </w:tblPr>
      <w:tblGrid>
        <w:gridCol w:w="4535"/>
        <w:gridCol w:w="5102"/>
      </w:tblGrid>
      <w:tr>
        <w:trPr>
          <w:tblHeader/>
          <w:cantSplit/>
        </w:trPr>
        <w:tc>
          <w:tcPr>
            <w:tcW w:type="dxa" w:w="4535"/>
            <w:shd w:fill="E7E6E6"/>
          </w:tcPr>
          <w:p>
            <w:pPr>
              <w:spacing w:after="60" w:before="60"/>
            </w:pPr>
            <w:r>
              <w:rPr>
                <w:b/>
                <w:sz w:val="18"/>
              </w:rPr>
              <w:t>Prüfpunkt</w:t>
            </w:r>
          </w:p>
        </w:tc>
        <w:tc>
          <w:tcPr>
            <w:tcW w:type="dxa" w:w="5102"/>
            <w:shd w:fill="E7E6E6"/>
          </w:tcPr>
          <w:p>
            <w:pPr>
              <w:spacing w:after="60" w:before="60"/>
            </w:pPr>
            <w:r>
              <w:rPr>
                <w:b/>
                <w:sz w:val="18"/>
              </w:rPr>
              <w:t>Eintrag</w:t>
            </w:r>
          </w:p>
        </w:tc>
      </w:tr>
      <w:tr>
        <w:trPr>
          <w:cantSplit/>
        </w:trPr>
        <w:tc>
          <w:tcPr>
            <w:tcW w:type="dxa" w:w="4535"/>
          </w:tcPr>
          <w:p>
            <w:pPr>
              <w:spacing w:after="60" w:before="60"/>
            </w:pPr>
            <w:r>
              <w:rPr>
                <w:sz w:val="18"/>
              </w:rPr>
              <w:t>Sicherungsverfahren und geschützter Sicherungsort</w:t>
            </w:r>
          </w:p>
        </w:tc>
        <w:tc>
          <w:tcPr>
            <w:tcW w:type="dxa" w:w="5102"/>
          </w:tcPr>
          <w:p>
            <w:pPr>
              <w:spacing w:after="60" w:before="60"/>
            </w:pPr>
            <w:r>
              <w:rPr>
                <w:sz w:val="18"/>
              </w:rPr>
              <w:br/>
            </w:r>
          </w:p>
        </w:tc>
      </w:tr>
      <w:tr>
        <w:trPr>
          <w:cantSplit/>
        </w:trPr>
        <w:tc>
          <w:tcPr>
            <w:tcW w:type="dxa" w:w="4535"/>
          </w:tcPr>
          <w:p>
            <w:pPr>
              <w:spacing w:after="60" w:before="60"/>
            </w:pPr>
            <w:r>
              <w:rPr>
                <w:sz w:val="18"/>
              </w:rPr>
              <w:t>Zuständige Rolle und Sicherungsrhythmus</w:t>
            </w:r>
          </w:p>
        </w:tc>
        <w:tc>
          <w:tcPr>
            <w:tcW w:type="dxa" w:w="5102"/>
          </w:tcPr>
          <w:p>
            <w:pPr>
              <w:spacing w:after="60" w:before="60"/>
            </w:pPr>
            <w:r>
              <w:rPr>
                <w:sz w:val="18"/>
              </w:rPr>
              <w:br/>
            </w:r>
          </w:p>
        </w:tc>
      </w:tr>
      <w:tr>
        <w:trPr>
          <w:cantSplit/>
        </w:trPr>
        <w:tc>
          <w:tcPr>
            <w:tcW w:type="dxa" w:w="4535"/>
          </w:tcPr>
          <w:p>
            <w:pPr>
              <w:spacing w:after="60" w:before="60"/>
            </w:pPr>
            <w:r>
              <w:rPr>
                <w:sz w:val="18"/>
              </w:rPr>
              <w:t>Testdatei und getrenntes Wiederherstellungsziel</w:t>
            </w:r>
          </w:p>
        </w:tc>
        <w:tc>
          <w:tcPr>
            <w:tcW w:type="dxa" w:w="5102"/>
          </w:tcPr>
          <w:p>
            <w:pPr>
              <w:spacing w:after="60" w:before="60"/>
            </w:pPr>
            <w:r>
              <w:rPr>
                <w:sz w:val="18"/>
              </w:rPr>
              <w:br/>
            </w:r>
          </w:p>
        </w:tc>
      </w:tr>
      <w:tr>
        <w:trPr>
          <w:cantSplit/>
        </w:trPr>
        <w:tc>
          <w:tcPr>
            <w:tcW w:type="dxa" w:w="4535"/>
          </w:tcPr>
          <w:p>
            <w:pPr>
              <w:spacing w:after="60" w:before="60"/>
            </w:pPr>
            <w:r>
              <w:rPr>
                <w:sz w:val="18"/>
              </w:rPr>
              <w:t>Testergebnis und nächster Prüftermin</w:t>
            </w:r>
          </w:p>
        </w:tc>
        <w:tc>
          <w:tcPr>
            <w:tcW w:type="dxa" w:w="5102"/>
          </w:tcPr>
          <w:p>
            <w:pPr>
              <w:spacing w:after="60" w:before="60"/>
            </w:pPr>
            <w:r>
              <w:rPr>
                <w:sz w:val="18"/>
              </w:rPr>
              <w:br/>
            </w:r>
          </w:p>
        </w:tc>
      </w:tr>
    </w:tbl>
    <w:p>
      <w:pPr>
        <w:pStyle w:val="Heading2"/>
      </w:pPr>
      <w:r>
        <w:t>Aufbewahrung und offene Fragen</w:t>
      </w:r>
    </w:p>
    <w:p>
      <w:r>
        <w:t>Für jede Dokumentart Zweck, maßgebliche Grundlage, möglichen Fristbeginn und verantwortliche Rolle prüfen. Ohne geklärte Grundlage keine pauschale Löschung. Dieser Plan bestimmt keine gesetzliche Aufbewahrungsdauer.</w:t>
      </w:r>
    </w:p>
    <w:tbl>
      <w:tblPr>
        <w:tblStyle w:val="TableGrid"/>
        <w:tblW w:type="auto" w:w="0"/>
        <w:jc w:val="center"/>
        <w:tblLayout w:type="fixed"/>
        <w:tblLook w:firstColumn="1" w:firstRow="1" w:lastColumn="0" w:lastRow="0" w:noHBand="0" w:noVBand="1" w:val="04A0"/>
      </w:tblPr>
      <w:tblGrid>
        <w:gridCol w:w="3402"/>
        <w:gridCol w:w="3118"/>
        <w:gridCol w:w="3118"/>
      </w:tblGrid>
      <w:tr>
        <w:trPr>
          <w:tblHeader/>
          <w:cantSplit/>
        </w:trPr>
        <w:tc>
          <w:tcPr>
            <w:tcW w:type="dxa" w:w="3402"/>
            <w:shd w:fill="E7E6E6"/>
          </w:tcPr>
          <w:p>
            <w:pPr>
              <w:spacing w:after="60" w:before="60"/>
            </w:pPr>
            <w:r>
              <w:rPr>
                <w:b/>
                <w:sz w:val="18"/>
              </w:rPr>
              <w:t>Dokumentart und Zweck</w:t>
            </w:r>
          </w:p>
        </w:tc>
        <w:tc>
          <w:tcPr>
            <w:tcW w:type="dxa" w:w="3118"/>
            <w:shd w:fill="E7E6E6"/>
          </w:tcPr>
          <w:p>
            <w:pPr>
              <w:spacing w:after="60" w:before="60"/>
            </w:pPr>
            <w:r>
              <w:rPr>
                <w:b/>
                <w:sz w:val="18"/>
              </w:rPr>
              <w:t>Grundlage und Prüftermin</w:t>
            </w:r>
          </w:p>
        </w:tc>
        <w:tc>
          <w:tcPr>
            <w:tcW w:type="dxa" w:w="3118"/>
            <w:shd w:fill="E7E6E6"/>
          </w:tcPr>
          <w:p>
            <w:pPr>
              <w:spacing w:after="60" w:before="60"/>
            </w:pPr>
            <w:r>
              <w:rPr>
                <w:b/>
                <w:sz w:val="18"/>
              </w:rPr>
              <w:t>Verantwortung und Klärung</w:t>
            </w:r>
          </w:p>
        </w:tc>
      </w:tr>
      <w:tr>
        <w:trPr>
          <w:cantSplit/>
        </w:trPr>
        <w:tc>
          <w:tcPr>
            <w:tcW w:type="dxa" w:w="3402"/>
          </w:tcPr>
          <w:p>
            <w:pPr>
              <w:spacing w:after="60" w:before="60"/>
            </w:pPr>
            <w:r>
              <w:rPr>
                <w:sz w:val="18"/>
              </w:rPr>
              <w:br/>
            </w:r>
          </w:p>
        </w:tc>
        <w:tc>
          <w:tcPr>
            <w:tcW w:type="dxa" w:w="3118"/>
          </w:tcPr>
          <w:p>
            <w:pPr>
              <w:spacing w:after="60" w:before="60"/>
            </w:pPr>
            <w:r>
              <w:rPr>
                <w:sz w:val="18"/>
              </w:rPr>
              <w:br/>
            </w:r>
          </w:p>
        </w:tc>
        <w:tc>
          <w:tcPr>
            <w:tcW w:type="dxa" w:w="3118"/>
          </w:tcPr>
          <w:p>
            <w:pPr>
              <w:spacing w:after="60" w:before="60"/>
            </w:pPr>
            <w:r>
              <w:rPr>
                <w:sz w:val="18"/>
              </w:rPr>
              <w:br/>
            </w:r>
          </w:p>
        </w:tc>
      </w:tr>
      <w:tr>
        <w:trPr>
          <w:cantSplit/>
        </w:trPr>
        <w:tc>
          <w:tcPr>
            <w:tcW w:type="dxa" w:w="3402"/>
          </w:tcPr>
          <w:p>
            <w:pPr>
              <w:spacing w:after="60" w:before="60"/>
            </w:pPr>
            <w:r>
              <w:rPr>
                <w:sz w:val="18"/>
              </w:rPr>
              <w:br/>
            </w:r>
          </w:p>
        </w:tc>
        <w:tc>
          <w:tcPr>
            <w:tcW w:type="dxa" w:w="3118"/>
          </w:tcPr>
          <w:p>
            <w:pPr>
              <w:spacing w:after="60" w:before="60"/>
            </w:pPr>
            <w:r>
              <w:rPr>
                <w:sz w:val="18"/>
              </w:rPr>
              <w:br/>
            </w:r>
          </w:p>
        </w:tc>
        <w:tc>
          <w:tcPr>
            <w:tcW w:type="dxa" w:w="3118"/>
          </w:tcPr>
          <w:p>
            <w:pPr>
              <w:spacing w:after="60" w:before="60"/>
            </w:pPr>
            <w:r>
              <w:rPr>
                <w:sz w:val="18"/>
              </w:rPr>
              <w:br/>
            </w:r>
          </w:p>
        </w:tc>
      </w:tr>
    </w:tbl>
    <w:p>
      <w:r>
        <w:t>Abnahme des Pilotvorgangs und Datum</w:t>
        <w:br/>
        <w:t>_______________________________________________________________</w:t>
      </w:r>
    </w:p>
    <w:p>
      <w:r>
        <w:t>Stand: Oktober 2026</w:t>
      </w:r>
    </w:p>
    <w:p>
      <w:hyperlink r:id="rId9">
        <w:r>
          <w:t>Technische Grundlage zur Datensicherung</w:t>
        </w:r>
      </w:hyperlink>
    </w:p>
    <w:p>
      <w:hyperlink r:id="rId10">
        <w:r>
          <w:t>Datenschutz bei Mitgliederlisten und Einsichtsfragen</w:t>
        </w:r>
      </w:hyperlink>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Calibri" w:hAnsi="Calibri"/>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km.bayern.de/gestalten/digitalisierung/datensicherheit/datensicherung" TargetMode="External"/><Relationship Id="rId10" Type="http://schemas.openxmlformats.org/officeDocument/2006/relationships/hyperlink" Target="https://www.datenschutz-berlin.de/pressemitteilung/herausgabe-von-mitgliederlisten-was-vereine-und-parteien-beachten-muess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Digitale Ablage im Brauchtumsverein</dc:title>
  <dc:subject>BRA-032 P03-02 Fassung 1.0</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