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Rücklage für ein Vorhaben planen</w:t>
      </w:r>
    </w:p>
    <w:p>
      <w:r>
        <w:t>Brauchtumsverein | Öffentliche Brauchtumswerkstatt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konkret geplantes Vorhaben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Zweck Nutzung und Planungsstand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Betrag und vorhandene Mittel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tatsächliche Bindung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Zeitplan und Kostenunterlagen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Geprüfte Rücklagenart und Grundlage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Bei Ersatz vorhandener Gegenstand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Gesonderter Nachweis und 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Frage Zuständigkeit und Termin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 Prüfung und Planungsänderung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Vermittlungsangebot und Zielgruppe: __________________________________________________</w:t>
      </w:r>
    </w:p>
    <w:p>
      <w:r>
        <w:t>Vereinsfundus oder private Leihgabe: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Rücklagenart, vorhandene Mittel, Planung und gesonderten Nachweis prüfen. Die Ausnahme zur zeitnahen Verwendung nach § 55 Absatz 1 Nummer 5 AO gesondert klären. Keine automatische Berechnung oder Anerkennung einer Rücklage.</w:t>
      </w:r>
    </w:p>
    <w:p>
      <w:r>
        <w:rPr>
          <w:sz w:val="16"/>
        </w:rPr>
        <w:t xml:space="preserve">Quelle und vollständiger Gesetzestext § 62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BRA-GESETZ-RUECKLAGE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