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Einarbeitung im Brauchtumsverein</w:t>
      </w:r>
    </w:p>
    <w:p>
      <w:pPr>
        <w:pStyle w:val="Subtitle"/>
      </w:pPr>
      <w:r>
        <w:t>Arbeitsmappe für die ersten 30 Tage</w:t>
      </w:r>
    </w:p>
    <w:p>
      <w:r>
        <w:t>Übernehmen Sie nicht nur Festtermine und den Fundusschlüssel, sondern auch das Wissen über Herkunft, Ablauf und Bedeutung des örtlichen Brauchs. Kennzeichnen Sie Vereinsbestand, Leihgaben und ungeklärte Überlieferungen. Für den nächsten Auftritt müssen Zuständigkeiten, Material und Absprachen mit dem Veranstalter nachvollziehbar sein.</w:t>
      </w:r>
    </w:p>
    <w:p>
      <w:r>
        <w:t>Die Mappe eignet sich für Vorstand, Fundus, Archiv sowie Fest-, Jugend- und Dokumentationsaufgaben. Unterschiedliche Brauchtumsformen benötigen ihre eigenen örtlichen Absprachen; ein fremdes Seminarprogramm ist keine verbindliche Vereinsordnung.</w:t>
      </w:r>
    </w:p>
    <w:p>
      <w:pPr>
        <w:spacing w:after="100"/>
        <w:keepNext/>
      </w:pPr>
      <w:r>
        <w:rPr>
          <w:b/>
          <w:color w:val="000000"/>
        </w:rPr>
        <w:t>So verwenden Sie die Vorlage</w:t>
      </w:r>
    </w:p>
    <w:p>
      <w:pPr>
        <w:spacing w:after="100"/>
      </w:pPr>
      <w:r>
        <w:rPr>
          <w:color w:val="000000"/>
        </w:rPr>
        <w:t>Speichern Sie zuerst eine eigene Kopie in Word oder einem kompatiblen Textprogramm. Füllen Sie nur die für Ihren Vorgang passenden Felder aus. Ungeklärte Angaben bleiben offen; notieren Sie die Rückfrage und die zuständige Person.</w:t>
      </w:r>
    </w:p>
    <w:p>
      <w:pPr>
        <w:spacing w:after="100"/>
      </w:pPr>
      <w:r>
        <w:rPr>
          <w:color w:val="000000"/>
        </w:rPr>
        <w:t>Ergänzen Sie bei Bedarf passende Zeilen oder Felder. Speichern Sie Änderungen in Ihrer eigenen Datei. Für die Weitergabe können Sie zusätzlich ein PDF erzeugen; die Word-Datei bleibt Ihre bearbeitbare Fassung.</w:t>
      </w:r>
    </w:p>
    <w:p>
      <w:pPr>
        <w:pStyle w:val="Heading1"/>
      </w:pPr>
      <w:r>
        <w:t>Aufgabe und Ansprechpartner klären</w:t>
      </w:r>
    </w:p>
    <w:p>
      <w:pPr>
        <w:pStyle w:val="ListBullet"/>
      </w:pPr>
      <w:r>
        <w:t>Vorstand: Vereinsauftrag, Kostenrahmen und verbindliche Zusagen klären.</w:t>
      </w:r>
    </w:p>
    <w:p>
      <w:pPr>
        <w:pStyle w:val="ListBullet"/>
      </w:pPr>
      <w:r>
        <w:t>Fachkundige für den örtlichen Brauch: Ablauf, Bedeutung und belegte Varianten erläutern.</w:t>
      </w:r>
    </w:p>
    <w:p>
      <w:pPr>
        <w:pStyle w:val="ListBullet"/>
      </w:pPr>
      <w:r>
        <w:t>Fundus und Archiv: Eigentum, Herkunft, Leihbedingungen und Erschließungsstand erklären.</w:t>
      </w:r>
    </w:p>
    <w:p>
      <w:pPr>
        <w:pStyle w:val="ListBullet"/>
      </w:pPr>
      <w:r>
        <w:t>Fest- oder Jugendteam: tatsächliche Veranstalterrolle, Betreuung und erforderliche Rücksprachen abstimmen.</w:t>
      </w:r>
    </w:p>
    <w:p>
      <w:r>
        <w:t>Notieren Sie Aufgabe, Umfang, Zeitbudget, entscheidende Stelle und erste Ansprechperson. Lassen Sie sich die gültige Satzung, einschlägige Beschlüsse und gegebenenfalls die Beauftragung zeigen. § 26 BGB regelt die Vertretung des Vereins. Eine interne Arbeitsaufgabe allein ist deshalb keine verlässliche Grundlage für eine Unterschrift oder verbindliche Zusage. Bei unklarer Vertretung wird vor einer Zusage nachgefragt.</w:t>
      </w:r>
    </w:p>
    <w:p>
      <w:r>
        <w:t>Verein und übernommene Aufgabe</w:t>
        <w:br/>
        <w:t>________________________________________________________________</w:t>
      </w:r>
    </w:p>
    <w:p>
      <w:r>
        <w:t>Beginn und vereinbarter Zeitumfang</w:t>
        <w:br/>
        <w:t>________________________________________________________________</w:t>
      </w:r>
    </w:p>
    <w:p>
      <w:r>
        <w:t>Begleitperson und Rückfragenkontakt</w:t>
        <w:br/>
        <w:t>________________________________________________________________</w:t>
      </w:r>
    </w:p>
    <w:p>
      <w:pPr>
        <w:pStyle w:val="Heading1"/>
        <w:pageBreakBefore/>
      </w:pPr>
      <w:r>
        <w:t>Fachunterlagen gemeinsam durchgehen</w:t>
      </w:r>
    </w:p>
    <w:p>
      <w:pPr>
        <w:pStyle w:val="Heading2"/>
      </w:pPr>
      <w:r>
        <w:t>Brauch und Quellen</w:t>
      </w:r>
    </w:p>
    <w:p>
      <w:r>
        <w:t>Ablaufbeschreibung, Herkunftsangaben, Zeitzeugenmaterial und Literatur erfassen. Beleg, mündliche Erinnerung und eigene Deutung ausdrücklich unterscheiden; Lücken nicht mit vermeintlich alten Regeln füllen.</w:t>
      </w:r>
    </w:p>
    <w:p>
      <w:pPr>
        <w:pStyle w:val="Heading2"/>
      </w:pPr>
      <w:r>
        <w:t>Fundus</w:t>
      </w:r>
    </w:p>
    <w:p>
      <w:r>
        <w:t>Trachten, Kostüme, Requisiten und Leihgaben nach Eigentum, Standort und Zustand zuordnen. Ausgabe, Pflege und Rückgabe mit zuständigen Personen besprechen.</w:t>
      </w:r>
    </w:p>
    <w:p>
      <w:pPr>
        <w:pStyle w:val="Heading2"/>
      </w:pPr>
      <w:r>
        <w:t>Archiv</w:t>
      </w:r>
    </w:p>
    <w:p>
      <w:r>
        <w:t>Originale, Scans, Dateinamen und Metadaten zusammenführen. Rechte und vereinbarte Verwendung von Bildern, Interviews und Texten nachvollziehbar halten.</w:t>
      </w:r>
    </w:p>
    <w:p>
      <w:pPr>
        <w:pStyle w:val="Heading2"/>
      </w:pPr>
      <w:r>
        <w:t>Festakte</w:t>
      </w:r>
    </w:p>
    <w:p>
      <w:r>
        <w:t>Nächsten Termin, Veranstalter, Auftrittsumfang, Materialtransport, Musiknutzung und offene Abstimmungen erfassen. Bei öffentlichen Umzügen die Zuständigkeiten und konkreten Anforderungen gesondert klären.</w:t>
      </w:r>
    </w:p>
    <w:p>
      <w:pPr>
        <w:pStyle w:val="Heading2"/>
      </w:pPr>
      <w:r>
        <w:t>Weitergabe und Nachwuchs</w:t>
      </w:r>
    </w:p>
    <w:p>
      <w:r>
        <w:t>Vorhandene Lernmaterialien, lokale Ansprechpartner und Betreuungskonzept sichern. Persönliches Wissen in einem erklärten Ablauf dokumentieren statt nur auf Einzelpersonen zu verweisen.</w:t>
      </w:r>
    </w:p>
    <w:p>
      <w:pPr>
        <w:pStyle w:val="Heading2"/>
      </w:pPr>
      <w:r>
        <w:t>Ein Beispiel für die Übergabe</w:t>
      </w:r>
    </w:p>
    <w:p>
      <w:r>
        <w:t>Beispiel zur Veranschaulichung: Eine neue Archivverantwortliche findet zu einem Foto zwei unterschiedliche Erinnerungen an das Aufnahmejahr. Sie dokumentiert beide Angaben mit Herkunft und Unsicherheit, statt ein Datum zu erfinden. Vor einer Verwendung in der Festschrift klärt sie zusätzlich die erforderlichen Rechte und kennzeichnet offene Fragen.</w:t>
      </w:r>
    </w:p>
    <w:p>
      <w:pPr>
        <w:pStyle w:val="Heading1"/>
        <w:pageBreakBefore/>
      </w:pPr>
      <w:r>
        <w:t>Den ersten Monat organisieren</w:t>
      </w:r>
    </w:p>
    <w:p>
      <w:r>
        <w:t>Die folgenden Zeitfenster sind ein eigener, anpassbarer Organisationsvorschlag. Sie sind keine gesetzliche Frist. Dringende rechtliche, finanzielle, Versorgungs- oder Sicherheitsfragen werden sofort an die zuständigen Personen gegeben und nicht bis zum Ende des Monats aufgeschoben.</w:t>
      </w:r>
    </w:p>
    <w:p>
      <w:pPr>
        <w:pStyle w:val="Heading2"/>
      </w:pPr>
      <w:r>
        <w:t>Tag 1 bis 3</w:t>
      </w:r>
    </w:p>
    <w:p>
      <w:r>
        <w:t>Mit Vorgänger und örtlich Fachkundigen nächsten Auftritt und die wichtigsten Wissenslücken besprechen.</w:t>
      </w:r>
    </w:p>
    <w:p>
      <w:r>
        <w:t>Ergebnis: Auftrag, Quellenlage und dringende Aufgaben sind benannt.</w:t>
      </w:r>
    </w:p>
    <w:p>
      <w:pPr>
        <w:pStyle w:val="Heading2"/>
      </w:pPr>
      <w:r>
        <w:t>Tag 4 bis 7</w:t>
      </w:r>
    </w:p>
    <w:p>
      <w:r>
        <w:t>Ein Fundusstück und einen Archivdatensatz gemeinsam prüfen.</w:t>
      </w:r>
    </w:p>
    <w:p>
      <w:r>
        <w:t>Ergebnis: Eigentum, Herkunft und Nutzungsstand sind nachvollziehbar.</w:t>
      </w:r>
    </w:p>
    <w:p>
      <w:pPr>
        <w:pStyle w:val="Heading2"/>
      </w:pPr>
      <w:r>
        <w:t>Tag 8 bis 14</w:t>
      </w:r>
    </w:p>
    <w:p>
      <w:r>
        <w:t>Eine begrenzte Fest- oder Dokumentationsaufgabe begleitet übernehmen.</w:t>
      </w:r>
    </w:p>
    <w:p>
      <w:r>
        <w:t>Ergebnis: Materialausgabe und Informationsweg funktionieren.</w:t>
      </w:r>
    </w:p>
    <w:p>
      <w:pPr>
        <w:pStyle w:val="Heading2"/>
      </w:pPr>
      <w:r>
        <w:t>Tag 15 bis 30</w:t>
      </w:r>
    </w:p>
    <w:p>
      <w:r>
        <w:t>Quellenlücken und offene Leihgaben nachhalten; Weitergabe des Wissens vereinbaren.</w:t>
      </w:r>
    </w:p>
    <w:p>
      <w:r>
        <w:t>Ergebnis: Ein nächster Termin und eine Vertretung sind dokumentiert.</w:t>
      </w:r>
    </w:p>
    <w:p>
      <w:pPr>
        <w:pStyle w:val="Heading2"/>
      </w:pPr>
      <w:r>
        <w:t>Offene Aufgaben festhalten</w:t>
      </w:r>
    </w:p>
    <w:tbl>
      <w:tblPr>
        <w:tblStyle w:val="TableGrid"/>
        <w:tblW w:type="auto" w:w="0"/>
        <w:jc w:val="center"/>
        <w:tblLayout w:type="fixed"/>
        <w:tblLook w:firstColumn="1" w:firstRow="1" w:lastColumn="0" w:lastRow="0" w:noHBand="0" w:noVBand="1" w:val="04A0"/>
      </w:tblPr>
      <w:tblGrid>
        <w:gridCol w:w="4535"/>
        <w:gridCol w:w="2268"/>
        <w:gridCol w:w="2835"/>
      </w:tblGrid>
      <w:tr>
        <w:trPr>
          <w:tblHeader/>
          <w:cantSplit/>
        </w:trPr>
        <w:tc>
          <w:tcPr>
            <w:tcW w:type="dxa" w:w="4535"/>
            <w:shd w:fill="E7E6E6"/>
          </w:tcPr>
          <w:p>
            <w:pPr>
              <w:spacing w:after="60" w:before="60"/>
            </w:pPr>
            <w:r>
              <w:rPr>
                <w:b/>
                <w:sz w:val="18"/>
              </w:rPr>
              <w:t>Aufgabe und nächster Schritt</w:t>
            </w:r>
          </w:p>
        </w:tc>
        <w:tc>
          <w:tcPr>
            <w:tcW w:type="dxa" w:w="2268"/>
            <w:shd w:fill="E7E6E6"/>
          </w:tcPr>
          <w:p>
            <w:pPr>
              <w:spacing w:after="60" w:before="60"/>
            </w:pPr>
            <w:r>
              <w:rPr>
                <w:b/>
                <w:sz w:val="18"/>
              </w:rPr>
              <w:t>Verantwortlich</w:t>
            </w:r>
          </w:p>
        </w:tc>
        <w:tc>
          <w:tcPr>
            <w:tcW w:type="dxa" w:w="2835"/>
            <w:shd w:fill="E7E6E6"/>
          </w:tcPr>
          <w:p>
            <w:pPr>
              <w:spacing w:after="60" w:before="60"/>
            </w:pPr>
            <w:r>
              <w:rPr>
                <w:b/>
                <w:sz w:val="18"/>
              </w:rPr>
              <w:t>Termin und Status</w:t>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bl>
    <w:p>
      <w:r>
        <w:t>Nicht zutreffende Punkte begründen. Kritische Fragen unmittelbar weitergeben. Eine Aufgabe erst nach nachvollziehbarer Kontrolle als geprüft markieren.</w:t>
      </w:r>
    </w:p>
    <w:p>
      <w:pPr>
        <w:pStyle w:val="Heading1"/>
        <w:pageBreakBefore/>
      </w:pPr>
      <w:r>
        <w:t>Übergabe und nächsten Prüftermin festhalten</w:t>
      </w:r>
    </w:p>
    <w:p>
      <w:r>
        <w:t>In diese Mappe gehören Systemname, zuständige Person, Berechtigungsstand und der Verweis auf einen geschützten Ablageort. Tragen Sie keine Passwörter, Zugangstokens, TAN, Bankzugangsdaten oder vertraulichen Falldetails ein. Prüfen Sie erforderliche Rechte und Vertretungen am tatsächlichen System. Sensible Fachakten bleiben in ihrer dafür vorgesehenen Ablage.</w:t>
      </w:r>
    </w:p>
    <w:tbl>
      <w:tblPr>
        <w:tblStyle w:val="TableGrid"/>
        <w:tblW w:type="auto" w:w="0"/>
        <w:jc w:val="center"/>
        <w:tblLayout w:type="fixed"/>
        <w:tblLook w:firstColumn="1" w:firstRow="1" w:lastColumn="0" w:lastRow="0" w:noHBand="0" w:noVBand="1" w:val="04A0"/>
      </w:tblPr>
      <w:tblGrid>
        <w:gridCol w:w="2835"/>
        <w:gridCol w:w="3402"/>
        <w:gridCol w:w="3402"/>
      </w:tblGrid>
      <w:tr>
        <w:trPr>
          <w:tblHeader/>
          <w:cantSplit/>
        </w:trPr>
        <w:tc>
          <w:tcPr>
            <w:tcW w:type="dxa" w:w="2835"/>
            <w:shd w:fill="E7E6E6"/>
          </w:tcPr>
          <w:p>
            <w:pPr>
              <w:spacing w:after="60" w:before="60"/>
            </w:pPr>
            <w:r>
              <w:rPr>
                <w:b/>
                <w:sz w:val="18"/>
              </w:rPr>
              <w:t>Bereich oder Unterlage</w:t>
            </w:r>
          </w:p>
        </w:tc>
        <w:tc>
          <w:tcPr>
            <w:tcW w:type="dxa" w:w="3402"/>
            <w:shd w:fill="E7E6E6"/>
          </w:tcPr>
          <w:p>
            <w:pPr>
              <w:spacing w:after="60" w:before="60"/>
            </w:pPr>
            <w:r>
              <w:rPr>
                <w:b/>
                <w:sz w:val="18"/>
              </w:rPr>
              <w:t>Fundort und berechtigte Rolle</w:t>
            </w:r>
          </w:p>
        </w:tc>
        <w:tc>
          <w:tcPr>
            <w:tcW w:type="dxa" w:w="3402"/>
            <w:shd w:fill="E7E6E6"/>
          </w:tcPr>
          <w:p>
            <w:pPr>
              <w:spacing w:after="60" w:before="60"/>
            </w:pPr>
            <w:r>
              <w:rPr>
                <w:b/>
                <w:sz w:val="18"/>
              </w:rPr>
              <w:t>Status und offene Frage</w:t>
            </w:r>
          </w:p>
        </w:tc>
      </w:tr>
      <w:tr>
        <w:trPr>
          <w:cantSplit/>
        </w:trPr>
        <w:tc>
          <w:tcPr>
            <w:tcW w:type="dxa" w:w="2835"/>
          </w:tcPr>
          <w:p>
            <w:pPr>
              <w:spacing w:after="60" w:before="60"/>
            </w:pPr>
            <w:r>
              <w:rPr>
                <w:sz w:val="18"/>
              </w:rPr>
              <w:t>Brauch und Quellen</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Fundus</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Archiv</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Festakte</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Weitergabe und Nachwuchs</w:t>
            </w:r>
          </w:p>
        </w:tc>
        <w:tc>
          <w:tcPr>
            <w:tcW w:type="dxa" w:w="3402"/>
          </w:tcPr>
          <w:p>
            <w:pPr>
              <w:spacing w:after="60" w:before="60"/>
            </w:pPr>
            <w:r>
              <w:rPr>
                <w:sz w:val="18"/>
              </w:rPr>
              <w:br/>
            </w:r>
          </w:p>
        </w:tc>
        <w:tc>
          <w:tcPr>
            <w:tcW w:type="dxa" w:w="3402"/>
          </w:tcPr>
          <w:p>
            <w:pPr>
              <w:spacing w:after="60" w:before="60"/>
            </w:pPr>
            <w:r>
              <w:rPr>
                <w:sz w:val="18"/>
              </w:rPr>
              <w:br/>
            </w:r>
          </w:p>
        </w:tc>
      </w:tr>
    </w:tbl>
    <w:p>
      <w:r>
        <w:t>Übergeben von und übernommen von</w:t>
        <w:br/>
        <w:t>________________________________________________________________</w:t>
      </w:r>
    </w:p>
    <w:p>
      <w:r>
        <w:t>Datum und nächster gemeinsamer Prüftermin</w:t>
        <w:br/>
        <w:t>________________________________________________________________</w:t>
      </w:r>
    </w:p>
    <w:p>
      <w:r>
        <w:t>Diese Bestätigung hält den dokumentierten Übergabestand fest. Sie bestätigt keine Vollständigkeit unbekannter Bestände, ersetzt keine Fachprüfung und bewirkt keine pauschale Entlastung.</w:t>
      </w:r>
    </w:p>
    <w:p>
      <w:pPr>
        <w:pStyle w:val="Heading2"/>
      </w:pPr>
      <w:r>
        <w:t>Mit einer kleinen Aufgabe beginnen</w:t>
      </w:r>
    </w:p>
    <w:p>
      <w:r>
        <w:t>Sie können etwa ein Interview organisatorisch vorbereiten, Fundusgegenstände erfassen oder einen Ablauf aufschreiben. Vereinbaren Sie, wer die fachliche Einordnung und Veröffentlichung prüft. Ein Mitglied muss nicht sofort sämtliche Aufgaben eines langjährigen Brauchkundigen übernehmen.</w:t>
      </w:r>
    </w:p>
    <w:p>
      <w:pPr>
        <w:pStyle w:val="Heading2"/>
      </w:pPr>
      <w:r>
        <w:t>Gesetze und öffentliche Stellen</w:t>
      </w:r>
    </w:p>
    <w:p>
      <w:hyperlink r:id="rId9">
        <w:r>
          <w:t>Vorstand und Vertretung nach § 26 BGB</w:t>
        </w:r>
      </w:hyperlink>
    </w:p>
    <w:p>
      <w:r>
        <w:t>Stand: Oktober 2026</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esetze-im-internet.de/bgb/__26.html" TargetMode="External"/><Relationship Id="rId10" Type="http://schemas.openxmlformats.org/officeDocument/2006/relationships/hyperlink" Target="https://trachtenverband-bayern.de/files/4_Veranstaltungen_Termine_Nachrichten/Bayerische_Trachtenjugend/2026_Seminarprogramm/2026_Seminarprogramm.vfinal_komprimiert.pdf" TargetMode="External"/><Relationship Id="rId11" Type="http://schemas.openxmlformats.org/officeDocument/2006/relationships/hyperlink" Target="https://www.verbandsbuero.de/checklisten-vorlage/vorstandswechsel-ohne-chaos/" TargetMode="External"/><Relationship Id="rId12" Type="http://schemas.openxmlformats.org/officeDocument/2006/relationships/hyperlink" Target="https://www.verbandsbuero.de/checklisten-vorlage/vereins-notfallmap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Einarbeitung im Brauchtumsverein</dc:title>
  <dc:subject>BRA-025 | P03-01 | Fassung 1.0 | 21.10.2026</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