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Mitgliederversammlung im Brauchtumsverein vorbereiten und Beschlüsse umsetzen</w:t>
      </w:r>
    </w:p>
    <w:p>
      <w:r>
        <w:t>Arbeitsmappe für Vorstand und Mitglieder. Drei getrennte Arbeitsteile; an die gültige Satzung und konkrete Versammlungsform anpassen. Beispielthema: Erhalt eines vereinseigenen Fundusstücks.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Tagesordnung und Einladungsprüfung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 dokumentieren</w:t>
            </w:r>
          </w:p>
        </w:tc>
        <w:tc>
          <w:tcPr>
            <w:tcW w:type="dxa" w:w="549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Eigener Eintrag oder Beleg</w:t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Gültiger Satzungsstand und konkrete Einberufungsregel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Zuständiges einberufendes Organ / verantwortliche Person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Termin / Ort / Versammlungsform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Einladungsweg / Frist / Versand- und Zugangsnachweis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Tagesordnungspunkt: genau bezeichneter Beschlussgegenstand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Konkreter Antrag und entscheidungsrelevante Anlage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Mitgliederrechte bei hybrider oder virtueller Form: geregelter Zugang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Vorstand, Brauchverantwortliche und Fundus-/Archivbetreuung: benötigte Berichte und Ansprechpartner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Beschlussprotokoll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 dokumentieren</w:t>
            </w:r>
          </w:p>
        </w:tc>
        <w:tc>
          <w:tcPr>
            <w:tcW w:type="dxa" w:w="549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Eigener Eintrag oder Beleg</w:t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Datum / Ort / Versammlungsform / Leitung / Protokollführung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Feststellungen zu Einladung, Teilnahme und Stimmberechtigung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Tagesordnungspunkt und tatsächlich gestellter Antrag im Wortlaut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Angewandte Satzungs-/Rechtsregel für Abstimmung und Mehrheit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Ja-Stimmen / Nein-Stimmen / Enthaltungen getrennt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Festgestelltes Ergebnis und verantwortliche Feststellung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Gegebenenfalls Wahlen: Amt / Kandidatur / Annahme / Ergebnis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Beurkundung und Unterschriften nach geltender Satzung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Aufgaben und Rückmeldeliste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 dokumentieren</w:t>
            </w:r>
          </w:p>
        </w:tc>
        <w:tc>
          <w:tcPr>
            <w:tcW w:type="dxa" w:w="549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Eigener Eintrag oder Beleg</w:t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Beschlusskennung / genauer beschlossener Umfang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Konkrete Aufgabe und erwartetes Ergebnis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Verantwortliche Person und ausdrücklich abgestimmte Vertretung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Branchenabstimmung: Vorstand, Brauchverantwortliche und Fundus-/Archivbetreuung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Budget- oder weitere notwendige Freigabe / Beleg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Termin / Zwischenstand / nächste Rückmeldung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Nachweis der Umsetzung / zugriffsgeschützte Ablage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Frage und Information an die Mitglieder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t>Belege zuordnen und ungeklärte Punkte mit nächstem Schritt dokumentieren.</w:t>
      </w:r>
    </w:p>
    <w:p>
      <w:pPr>
        <w:pStyle w:val="Heading2"/>
      </w:pPr>
      <w:r>
        <w:t>Stand: Oktober 2026</w:t>
      </w:r>
    </w:p>
    <w:p>
      <w:pPr>
        <w:spacing w:after="40"/>
      </w:pPr>
      <w:hyperlink r:id="rId10">
        <w:r>
          <w:rPr>
            <w:sz w:val="16"/>
          </w:rPr>
          <w:t xml:space="preserve">§ 32 BGB – amtlicher Volltext</w:t>
        </w:r>
      </w:hyperlink>
    </w:p>
    <w:p>
      <w:pPr>
        <w:spacing w:after="40"/>
      </w:pPr>
      <w:hyperlink r:id="rId11">
        <w:r>
          <w:rPr>
            <w:sz w:val="16"/>
          </w:rPr>
          <w:t xml:space="preserve">§ 40 BGB – amtlicher Volltext</w:t>
        </w:r>
      </w:hyperlink>
    </w:p>
    <w:p>
      <w:pPr>
        <w:spacing w:after="40"/>
      </w:pPr>
      <w:hyperlink r:id="rId10">
        <w:r>
          <w:rPr>
            <w:sz w:val="16"/>
          </w:rPr>
          <w:t xml:space="preserve">§ 32 BGB – Mitgliederversammlung; Beschlussfassung</w:t>
        </w:r>
      </w:hyperlink>
    </w:p>
    <w:p>
      <w:pPr>
        <w:spacing w:after="40"/>
      </w:pPr>
      <w:r>
        <w:rPr>
          <w:sz w:val="16"/>
        </w:rPr>
        <w:t>Stand: Oktober 2026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BRA-027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bgb/__32.html" TargetMode="External"/><Relationship Id="rId11" Type="http://schemas.openxmlformats.org/officeDocument/2006/relationships/hyperlink" Target="https://www.gesetze-im-internet.de/bgb/__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